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widowControl/>
        <w:jc w:val="left"/>
        <w:rPr>
          <w:rFonts w:ascii="黑体" w:eastAsia="黑体" w:hAnsi="黑体" w:cs="宋体" w:hint="eastAsia"/>
          <w:color w:val="333333"/>
          <w:sz w:val="32"/>
          <w:szCs w:val="32"/>
        </w:rPr>
      </w:pPr>
      <w:bookmarkStart w:id="0" w:name="_GoBack"/>
      <w:bookmarkEnd w:id="0"/>
      <w:r>
        <w:rPr>
          <w:rFonts w:ascii="黑体" w:eastAsia="黑体" w:hAnsi="黑体" w:cs="宋体" w:hint="eastAsia"/>
          <w:color w:val="333333"/>
          <w:sz w:val="32"/>
          <w:szCs w:val="32"/>
        </w:rPr>
        <w:t xml:space="preserve">附件4：</w:t>
      </w: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p>
    <w:p>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 xml:space="preserve">自治区本级部门单位整体支出绩效</w:t>
      </w:r>
    </w:p>
    <w:p>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 xml:space="preserve">自评报告</w:t>
      </w:r>
    </w:p>
    <w:p>
      <w:pPr>
        <w:spacing w:line="540" w:lineRule="exact"/>
        <w:jc w:val="center"/>
        <w:rPr>
          <w:rFonts w:ascii="华文中宋" w:eastAsia="华文中宋" w:hAnsi="华文中宋" w:cs="宋体" w:hint="eastAsia"/>
          <w:b/>
          <w:kern w:val="0"/>
          <w:sz w:val="52"/>
          <w:szCs w:val="52"/>
        </w:rPr>
      </w:pPr>
    </w:p>
    <w:p>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 xml:space="preserve">（</w:t>
      </w:r>
      <w:r>
        <w:rPr>
          <w:rFonts w:ascii="仿宋_GB2312" w:eastAsia="仿宋_GB2312" w:hAnsi="宋体" w:hint="eastAsia"/>
          <w:b/>
          <w:sz w:val="32"/>
          <w:szCs w:val="32"/>
        </w:rPr>
        <w:t xml:space="preserve">2024</w:t>
      </w:r>
      <w:r>
        <w:rPr>
          <w:rFonts w:eastAsia="仿宋_GB2312" w:hAnsi="宋体" w:cs="宋体" w:hint="eastAsia"/>
          <w:kern w:val="0"/>
          <w:sz w:val="36"/>
          <w:szCs w:val="36"/>
        </w:rPr>
        <w:t xml:space="preserve">年度）</w:t>
      </w: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 xml:space="preserve">参考模板</w:t>
      </w: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jc w:val="center"/>
        <w:rPr>
          <w:rFonts w:eastAsia="仿宋_GB2312" w:hAnsi="宋体" w:cs="宋体" w:hint="eastAsia"/>
          <w:kern w:val="0"/>
          <w:sz w:val="30"/>
          <w:szCs w:val="30"/>
        </w:rPr>
      </w:pPr>
    </w:p>
    <w:p>
      <w:pPr>
        <w:spacing w:line="540" w:lineRule="exact"/>
        <w:rPr>
          <w:rFonts w:eastAsia="仿宋_GB2312" w:hAnsi="宋体" w:cs="宋体" w:hint="eastAsia"/>
          <w:kern w:val="0"/>
          <w:sz w:val="30"/>
          <w:szCs w:val="30"/>
        </w:rPr>
      </w:pPr>
    </w:p>
    <w:p>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pPr>
        <w:spacing w:line="700" w:lineRule="exact"/>
        <w:ind w:firstLine="850" w:firstLineChars="236"/>
        <w:jc w:val="left"/>
        <w:rPr>
          <w:rFonts w:eastAsia="仿宋_GB2312" w:hAnsi="宋体" w:cs="宋体" w:hint="eastAsia"/>
          <w:kern w:val="0"/>
          <w:sz w:val="36"/>
          <w:szCs w:val="36"/>
        </w:rPr>
      </w:pPr>
      <w:r>
        <w:rPr>
          <w:rFonts w:eastAsia="仿宋_GB2312" w:hAnsi="宋体" w:cs="宋体" w:hint="eastAsia"/>
          <w:kern w:val="0"/>
          <w:sz w:val="36"/>
          <w:szCs w:val="36"/>
        </w:rPr>
        <w:t xml:space="preserve">部门单位名称（公章）：</w:t>
      </w:r>
    </w:p>
    <w:p>
      <w:pPr>
        <w:spacing w:line="700" w:lineRule="exact"/>
        <w:ind w:firstLine="850" w:firstLineChars="236"/>
        <w:jc w:val="left"/>
        <w:rPr>
          <w:rFonts w:eastAsia="仿宋_GB2312" w:hAnsi="宋体" w:cs="宋体" w:hint="eastAsia"/>
          <w:kern w:val="0"/>
          <w:sz w:val="36"/>
          <w:szCs w:val="36"/>
        </w:rPr>
      </w:pPr>
      <w:r>
        <w:rPr>
          <w:rFonts w:eastAsia="仿宋_GB2312" w:hAnsi="宋体" w:cs="宋体" w:hint="eastAsia"/>
          <w:kern w:val="0"/>
          <w:sz w:val="36"/>
          <w:szCs w:val="36"/>
        </w:rPr>
        <w:t xml:space="preserve">填报时间：     年     月     日</w:t>
      </w:r>
    </w:p>
    <w:p>
      <w:pPr>
        <w:spacing w:line="700" w:lineRule="exact"/>
        <w:jc w:val="left"/>
        <w:rPr>
          <w:rFonts w:eastAsia="仿宋_GB2312" w:hAnsi="宋体" w:cs="宋体" w:hint="eastAsia"/>
          <w:kern w:val="0"/>
          <w:sz w:val="36"/>
          <w:szCs w:val="36"/>
        </w:rPr>
      </w:pPr>
    </w:p>
    <w:p>
      <w:pPr>
        <w:spacing w:line="700" w:lineRule="exact"/>
        <w:jc w:val="left"/>
        <w:rPr>
          <w:rFonts w:eastAsia="仿宋_GB2312" w:hAnsi="宋体" w:cs="宋体" w:hint="eastAsia"/>
          <w:kern w:val="0"/>
          <w:sz w:val="36"/>
          <w:szCs w:val="36"/>
        </w:rPr>
      </w:pPr>
    </w:p>
    <w:p>
      <w:pPr>
        <w:spacing w:line="700" w:lineRule="exact"/>
        <w:jc w:val="left"/>
        <w:rPr>
          <w:rFonts w:eastAsia="仿宋_GB2312" w:hAnsi="宋体" w:cs="宋体" w:hint="eastAsia"/>
          <w:kern w:val="0"/>
          <w:sz w:val="36"/>
          <w:szCs w:val="36"/>
        </w:rPr>
      </w:pP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基本概况</w:t>
      </w:r>
    </w:p>
    <w:p>
      <w:pPr>
        <w:snapToGrid w:val="0"/>
        <w:spacing w:line="540" w:lineRule="exact"/>
        <w:ind w:left="993"/>
        <w:rPr>
          <w:rFonts w:ascii="黑体" w:eastAsia="黑体" w:hAnsi="黑体" w:cs="宋体" w:hint="eastAsia"/>
          <w:bCs/>
          <w:color w:val="333333"/>
          <w:sz w:val="32"/>
          <w:szCs w:val="32"/>
        </w:rPr>
      </w:pPr>
      <w:r>
        <w:rPr>
          <w:rStyle w:val="Strong"/>
          <w:rFonts w:ascii="楷体" w:eastAsia="楷体" w:hAnsi="楷体" w:cs="楷体" w:hint="eastAsia"/>
          <w:b w:val="0"/>
          <w:spacing w:val="-4"/>
          <w:sz w:val="32"/>
          <w:szCs w:val="32"/>
        </w:rPr>
        <w:t xml:space="preserve">(</w:t>
      </w:r>
      <w:bookmarkStart w:id="1" w:name="_Hlk199153249"/>
      <w:r>
        <w:rPr>
          <w:rStyle w:val="Strong"/>
          <w:rFonts w:ascii="楷体" w:eastAsia="楷体" w:hAnsi="楷体" w:cs="楷体" w:hint="eastAsia"/>
          <w:b w:val="0"/>
          <w:spacing w:val="-4"/>
          <w:sz w:val="32"/>
          <w:szCs w:val="32"/>
        </w:rPr>
        <w:t xml:space="preserve">一)</w:t>
      </w:r>
      <w:bookmarkEnd w:id="1"/>
      <w:r>
        <w:rPr>
          <w:rFonts w:ascii="黑体" w:eastAsia="黑体" w:hAnsi="黑体" w:cs="宋体" w:hint="eastAsia"/>
          <w:bCs/>
          <w:color w:val="333333"/>
          <w:sz w:val="32"/>
          <w:szCs w:val="32"/>
        </w:rPr>
        <w:t xml:space="preserve">部门单位基本情况:</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1.主要职能</w:t>
      </w:r>
      <w:r>
        <w:cr/>
      </w:r>
      <w:r>
        <w:rPr>
          <w:rFonts w:ascii="仿宋_GB2312" w:eastAsia="仿宋_GB2312" w:hAnsi="宋体" w:hint="eastAsia"/>
          <w:b/>
          <w:sz w:val="32"/>
          <w:szCs w:val="32"/>
        </w:rPr>
        <w:br/>
      </w:r>
      <w:r>
        <w:rPr>
          <w:rFonts w:ascii="仿宋_GB2312" w:eastAsia="仿宋_GB2312" w:hAnsi="宋体" w:hint="eastAsia"/>
          <w:b/>
          <w:sz w:val="32"/>
          <w:szCs w:val="32"/>
        </w:rPr>
        <w:t xml:space="preserve">（1）进一步加强全县互联网监管工作，推进县网络安全、网络系统党建工作，建立健全各类网站（平台）、网信企业党组织，全面做好思想建设、组织建设、作风建设、反腐倡廉建设和制度建设。</w:t>
      </w:r>
      <w:r>
        <w:cr/>
      </w:r>
      <w:r>
        <w:rPr>
          <w:rFonts w:ascii="仿宋_GB2312" w:eastAsia="仿宋_GB2312" w:hAnsi="宋体" w:hint="eastAsia"/>
          <w:b/>
          <w:sz w:val="32"/>
          <w:szCs w:val="32"/>
        </w:rPr>
        <w:br/>
      </w:r>
      <w:r>
        <w:rPr>
          <w:rFonts w:ascii="仿宋_GB2312" w:eastAsia="仿宋_GB2312" w:hAnsi="宋体" w:hint="eastAsia"/>
          <w:b/>
          <w:sz w:val="32"/>
          <w:szCs w:val="32"/>
        </w:rPr>
        <w:t xml:space="preserve">（2）负责协调推进县域网络安全和信息化法制、标准建设，根据职责权限负责网络空间治理相关问题。</w:t>
      </w:r>
      <w:r>
        <w:cr/>
      </w:r>
      <w:r>
        <w:rPr>
          <w:rFonts w:ascii="仿宋_GB2312" w:eastAsia="仿宋_GB2312" w:hAnsi="宋体" w:hint="eastAsia"/>
          <w:b/>
          <w:sz w:val="32"/>
          <w:szCs w:val="32"/>
        </w:rPr>
        <w:br/>
      </w:r>
      <w:r>
        <w:rPr>
          <w:rFonts w:ascii="仿宋_GB2312" w:eastAsia="仿宋_GB2312" w:hAnsi="宋体" w:hint="eastAsia"/>
          <w:b/>
          <w:sz w:val="32"/>
          <w:szCs w:val="32"/>
        </w:rPr>
        <w:t xml:space="preserve">（3）负责全县网络信息安全协调工作，统筹协调网络安全保障体系建设，组织协调对党政部门和国家关键信息基础建设。 </w:t>
      </w:r>
      <w:r>
        <w:cr/>
      </w:r>
      <w:r>
        <w:rPr>
          <w:rFonts w:ascii="仿宋_GB2312" w:eastAsia="仿宋_GB2312" w:hAnsi="宋体" w:hint="eastAsia"/>
          <w:b/>
          <w:sz w:val="32"/>
          <w:szCs w:val="32"/>
        </w:rPr>
        <w:br/>
      </w:r>
      <w:r>
        <w:rPr>
          <w:rFonts w:ascii="仿宋_GB2312" w:eastAsia="仿宋_GB2312" w:hAnsi="宋体" w:hint="eastAsia"/>
          <w:b/>
          <w:sz w:val="32"/>
          <w:szCs w:val="32"/>
        </w:rPr>
        <w:t xml:space="preserve">（4）负责全县互联网信息服务资本准入和信息网络行业安全审查等工作。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（5）组织开展网络安全和信息化交流合作；指导全县网络安全和信息化工作。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2.机构设置及人员情况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中共裕民县委网络安全和信息化委员会办公室包括本级机关及1个直属事业单位（裕民县网络应急指挥中心），机关内设5个科室（分别为综合科、党建科、网评网举中心、舆情科、网络应急指挥中心）。</w:t>
      </w:r>
      <w:r>
        <w:cr/>
      </w:r>
      <w:r>
        <w:rPr>
          <w:rFonts w:ascii="仿宋_GB2312" w:eastAsia="仿宋_GB2312" w:hAnsi="宋体" w:hint="eastAsia"/>
          <w:b/>
          <w:sz w:val="32"/>
          <w:szCs w:val="32"/>
        </w:rPr>
        <w:br/>
      </w:r>
      <w:r>
        <w:rPr>
          <w:rFonts w:ascii="仿宋_GB2312" w:eastAsia="仿宋_GB2312" w:hAnsi="宋体" w:hint="eastAsia"/>
          <w:b/>
          <w:sz w:val="32"/>
          <w:szCs w:val="32"/>
        </w:rPr>
        <w:t xml:space="preserve">中共裕民县委网络安全和信息化委员会办公室及其下属事业单位编制数20，其中：行政人员编制5人、工勤人员1人、事业编制14人。实有人数19人，其中：在职19人，增加3人；退休0人，增加0人；离休0人，增加0人。</w:t>
      </w:r>
      <w:bookmarkStart w:id="2" w:name="_Hlk43849111"/>
      <w:bookmarkEnd w:id="2"/>
    </w:p>
    <w:p>
      <w:pPr>
        <w:spacing w:line="600" w:lineRule="exact"/>
        <w:ind w:firstLine="1018" w:firstLineChars="318"/>
        <w:jc w:val="left"/>
        <w:rPr>
          <w:rFonts w:ascii="黑体" w:eastAsia="黑体" w:hAnsi="黑体" w:cs="宋体" w:hint="eastAsia"/>
          <w:bCs/>
          <w:color w:val="333333"/>
          <w:sz w:val="32"/>
          <w:szCs w:val="32"/>
        </w:rPr>
      </w:pPr>
      <w:r>
        <w:rPr>
          <w:rStyle w:val="Strong"/>
          <w:rFonts w:ascii="楷体" w:eastAsia="楷体" w:hAnsi="楷体" w:cs="楷体" w:hint="eastAsia"/>
          <w:b w:val="0"/>
          <w:spacing w:val="-4"/>
          <w:sz w:val="32"/>
          <w:szCs w:val="32"/>
        </w:rPr>
        <w:t xml:space="preserve">(二)</w:t>
      </w:r>
      <w:r>
        <w:rPr>
          <w:rFonts w:ascii="黑体" w:eastAsia="黑体" w:hAnsi="黑体" w:cs="宋体" w:hint="eastAsia"/>
          <w:bCs/>
          <w:color w:val="333333"/>
          <w:sz w:val="32"/>
          <w:szCs w:val="32"/>
        </w:rPr>
        <w:t xml:space="preserve">部门单位年度重点工作：</w:t>
      </w:r>
    </w:p>
    <w:p>
      <w:pPr>
        <w:spacing w:line="600" w:lineRule="exact"/>
        <w:ind w:left="1273" w:firstLine="2" w:leftChars="606"/>
        <w:jc w:val="left"/>
        <w:rPr>
          <w:rFonts w:ascii="仿宋_GB2312" w:eastAsia="仿宋_GB2312" w:hAnsi="宋体" w:hint="eastAsia"/>
          <w:b/>
          <w:sz w:val="32"/>
          <w:szCs w:val="32"/>
        </w:rPr>
      </w:pPr>
      <w:r>
        <w:rPr>
          <w:rFonts w:ascii="仿宋_GB2312" w:eastAsia="仿宋_GB2312" w:hAnsi="宋体" w:hint="eastAsia"/>
          <w:b/>
          <w:sz w:val="32"/>
          <w:szCs w:val="32"/>
        </w:rPr>
        <w:t xml:space="preserve">1.年度总体目标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加强党的理论学习，加强网信业务知识学习。提升干部政治意识和政治素养。加强对党务工作教育管理，开展党建知识学习培训，定期召开互联网领域党建工作联席会议。</w:t>
      </w:r>
      <w:r>
        <w:cr/>
      </w:r>
      <w:r>
        <w:rPr>
          <w:rFonts w:ascii="仿宋_GB2312" w:eastAsia="仿宋_GB2312" w:hAnsi="宋体" w:hint="eastAsia"/>
          <w:b/>
          <w:sz w:val="32"/>
          <w:szCs w:val="32"/>
        </w:rPr>
        <w:br/>
      </w:r>
      <w:r>
        <w:rPr>
          <w:rFonts w:ascii="仿宋_GB2312" w:eastAsia="仿宋_GB2312" w:hAnsi="宋体" w:hint="eastAsia"/>
          <w:b/>
          <w:sz w:val="32"/>
          <w:szCs w:val="32"/>
        </w:rPr>
        <w:t xml:space="preserve">加强对干部队伍的廉政教育建设，定期开展网信业务培训，每季度对网评网举工作开展业务培训。加强专项整治，开展负面信息集中整治行动。</w:t>
      </w:r>
      <w:r>
        <w:cr/>
      </w:r>
      <w:r>
        <w:rPr>
          <w:rFonts w:ascii="仿宋_GB2312" w:eastAsia="仿宋_GB2312" w:hAnsi="宋体" w:hint="eastAsia"/>
          <w:b/>
          <w:sz w:val="32"/>
          <w:szCs w:val="32"/>
        </w:rPr>
        <w:br/>
      </w:r>
      <w:r>
        <w:rPr>
          <w:rFonts w:ascii="仿宋_GB2312" w:eastAsia="仿宋_GB2312" w:hAnsi="宋体" w:hint="eastAsia"/>
          <w:b/>
          <w:sz w:val="32"/>
          <w:szCs w:val="32"/>
        </w:rPr>
        <w:t xml:space="preserve">开展网络答题活动，主题宣讲活动，强化网络文化宣传，积极参与属地网络活动和话题传播。加强对属地重要信息系统、政务网站监测，确保关键基础设施、重要网站和信息系统安全，做好网络安全风险监测预警。</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2.重点工作计划</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加强理论学习。深入互联网企业开展专题培训，组织党员干部深入学习领会党的二十届三中全会精神、习近平总书记关于网络强国的重要思想等内容，安排部署示范点网站相关工作。加强党建引领。组织互联网企业观看微党课，讲解互联网企业党建重点工作任务。明确目标任务。制定互联网企业党建工作计划，召开互联网领域党建工作联席会议。</w:t>
      </w:r>
      <w:r>
        <w:cr/>
      </w:r>
      <w:r>
        <w:rPr>
          <w:rFonts w:ascii="仿宋_GB2312" w:eastAsia="仿宋_GB2312" w:hAnsi="宋体" w:hint="eastAsia"/>
          <w:b/>
          <w:sz w:val="32"/>
          <w:szCs w:val="32"/>
        </w:rPr>
        <w:br/>
      </w:r>
      <w:r>
        <w:rPr>
          <w:rFonts w:ascii="仿宋_GB2312" w:eastAsia="仿宋_GB2312" w:hAnsi="宋体" w:hint="eastAsia"/>
          <w:b/>
          <w:sz w:val="32"/>
          <w:szCs w:val="32"/>
        </w:rPr>
        <w:t xml:space="preserve">（2）加强党的理论宣传。统筹属地网站（平台），设置专题专栏，发布稿件；开展网络答题活动，主题宣讲活动。弘扬网络正能量。利用属地网站（平台）发布主题活动视频制作展板、横幅，发放宣传册进行宣传。按月开展网络安全知识宣传活动，并主要在网络安全宣传周宣传，预计开展宣传活动4次。</w:t>
      </w:r>
      <w:r>
        <w:cr/>
      </w:r>
      <w:r>
        <w:rPr>
          <w:rFonts w:ascii="仿宋_GB2312" w:eastAsia="仿宋_GB2312" w:hAnsi="宋体" w:hint="eastAsia"/>
          <w:b/>
          <w:sz w:val="32"/>
          <w:szCs w:val="32"/>
        </w:rPr>
        <w:br/>
      </w:r>
      <w:r>
        <w:rPr>
          <w:rFonts w:ascii="仿宋_GB2312" w:eastAsia="仿宋_GB2312" w:hAnsi="宋体" w:hint="eastAsia"/>
          <w:b/>
          <w:sz w:val="32"/>
          <w:szCs w:val="32"/>
        </w:rPr>
        <w:t xml:space="preserve">（3）加强对属地重要信息系统、政务网站监测，发现并及时整改低危漏洞。筑牢网络安全防线。动态更新属地网站信息台账，做好日常巡查，2025年按季度对属地重要信息系统、政务网站进行网络安全检查工作，每年预计检查次数4次。</w:t>
      </w:r>
      <w:r>
        <w:cr/>
      </w:r>
      <w:r>
        <w:rPr>
          <w:rFonts w:ascii="仿宋_GB2312" w:eastAsia="仿宋_GB2312" w:hAnsi="宋体" w:hint="eastAsia"/>
          <w:b/>
          <w:sz w:val="32"/>
          <w:szCs w:val="32"/>
        </w:rPr>
        <w:br/>
      </w:r>
      <w:r>
        <w:rPr>
          <w:rFonts w:ascii="仿宋_GB2312" w:eastAsia="仿宋_GB2312" w:hAnsi="宋体" w:hint="eastAsia"/>
          <w:b/>
          <w:sz w:val="32"/>
          <w:szCs w:val="32"/>
        </w:rPr>
        <w:t xml:space="preserve">（4）定期开展网络安全宣传活动，开展宣传4次。传达网络安全的理念和重要性，引导公众积极参与网络安全宣传中，不断提高群众网络安全思想和网络安全意识。</w:t>
      </w:r>
      <w:r>
        <w:cr/>
      </w:r>
      <w:r>
        <w:rPr>
          <w:rFonts w:ascii="仿宋_GB2312" w:eastAsia="仿宋_GB2312" w:hAnsi="宋体" w:hint="eastAsia"/>
          <w:b/>
          <w:sz w:val="32"/>
          <w:szCs w:val="32"/>
        </w:rPr>
        <w:br/>
      </w:r>
      <w:r>
        <w:rPr>
          <w:rFonts w:ascii="仿宋_GB2312" w:eastAsia="仿宋_GB2312" w:hAnsi="宋体" w:hint="eastAsia"/>
          <w:b/>
          <w:sz w:val="32"/>
          <w:szCs w:val="32"/>
        </w:rPr>
        <w:t xml:space="preserve">（5）加强干部业务水平提升，每年按计划对干部进行业务培训、廉政教育培训、网络安全培训不少于4次，不断提升干部业务水平和政治思想意识。</w:t>
      </w:r>
    </w:p>
    <w:p>
      <w:pPr>
        <w:snapToGrid w:val="0"/>
        <w:spacing w:line="540" w:lineRule="exact"/>
        <w:ind w:left="993"/>
        <w:rPr>
          <w:rFonts w:ascii="黑体" w:eastAsia="黑体" w:hAnsi="黑体" w:cs="宋体" w:hint="eastAsia"/>
          <w:b/>
          <w:color w:val="333333"/>
          <w:sz w:val="32"/>
          <w:szCs w:val="32"/>
        </w:rPr>
      </w:pPr>
      <w:r>
        <w:rPr>
          <w:rStyle w:val="Strong"/>
          <w:rFonts w:ascii="楷体" w:eastAsia="楷体" w:hAnsi="楷体" w:cs="楷体" w:hint="eastAsia"/>
          <w:b w:val="0"/>
          <w:spacing w:val="-4"/>
          <w:sz w:val="32"/>
          <w:szCs w:val="32"/>
        </w:rPr>
        <w:t xml:space="preserve">(三)</w:t>
      </w:r>
      <w:r>
        <w:rPr>
          <w:rFonts w:ascii="黑体" w:eastAsia="黑体" w:hAnsi="黑体" w:cs="宋体" w:hint="eastAsia"/>
          <w:bCs/>
          <w:color w:val="333333"/>
          <w:sz w:val="32"/>
          <w:szCs w:val="32"/>
        </w:rPr>
        <w:t xml:space="preserve">部门单位整体预算规模及安排情况：</w:t>
      </w:r>
    </w:p>
    <w:p>
      <w:pPr>
        <w:spacing w:line="600" w:lineRule="exact"/>
        <w:ind w:left="1273" w:firstLine="3" w:leftChars="606" w:firstLineChars="1"/>
        <w:jc w:val="left"/>
        <w:rPr>
          <w:rFonts w:ascii="仿宋_GB2312" w:eastAsia="仿宋_GB2312" w:hAnsi="宋体" w:hint="eastAsia"/>
          <w:b/>
          <w:sz w:val="32"/>
          <w:szCs w:val="32"/>
        </w:rPr>
      </w:pPr>
      <w:r>
        <w:rPr>
          <w:rFonts w:ascii="仿宋_GB2312" w:eastAsia="仿宋_GB2312" w:hAnsi="宋体" w:hint="eastAsia"/>
          <w:b/>
          <w:sz w:val="32"/>
          <w:szCs w:val="32"/>
        </w:rPr>
        <w:t xml:space="preserve">（三）部门单位整体预算规模及安排情况2024年中共裕民县委网络安全和信息化委员会办公室单位年初预算安排271.53万元，其中财政拨款271.53元，其他资金0万元，主要用于在职人员工资福利支出、社会保障和就业支出、卫生健康支出14.54万元、住房保障支出、机关运行经费和专项业务费支出。年中调整12.09万元，调整后全年预算283.63万元，预算调整率4.45%，调整预算的主要原因为2024年在职人员增加3人，人员经费支出增加。</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部门单位整体支出管理及使用情况</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（一）部门单位整体支出管理情况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1.预算编制</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2.预算执行</w:t>
      </w:r>
      <w:r>
        <w:cr/>
      </w:r>
      <w:r>
        <w:rPr>
          <w:rFonts w:ascii="仿宋_GB2312" w:eastAsia="仿宋_GB2312" w:hAnsi="宋体" w:hint="eastAsia"/>
          <w:b/>
          <w:sz w:val="32"/>
          <w:szCs w:val="32"/>
        </w:rPr>
        <w:br/>
      </w:r>
      <w:r>
        <w:rPr>
          <w:rFonts w:ascii="仿宋_GB2312" w:eastAsia="仿宋_GB2312" w:hAnsi="宋体" w:hint="eastAsia"/>
          <w:b/>
          <w:sz w:val="32"/>
          <w:szCs w:val="32"/>
        </w:rPr>
        <w:t xml:space="preserve">裕民县财政批复预算后，我单位按要求及时制定并报批部门预算支出计划，严格落实预算执行定期分析机制，靠前抓好支出执行，坚持严肃财经纪律，硬化预算约束，持续树牢厉行节约理念，严控一般性支出，努力降低行政运行成本。</w:t>
      </w:r>
      <w:r>
        <w:cr/>
      </w:r>
      <w:r>
        <w:rPr>
          <w:rFonts w:ascii="仿宋_GB2312" w:eastAsia="仿宋_GB2312" w:hAnsi="宋体" w:hint="eastAsia"/>
          <w:b/>
          <w:sz w:val="32"/>
          <w:szCs w:val="32"/>
        </w:rPr>
        <w:br/>
      </w:r>
      <w:r>
        <w:rPr>
          <w:rFonts w:ascii="仿宋_GB2312" w:eastAsia="仿宋_GB2312" w:hAnsi="宋体" w:hint="eastAsia"/>
          <w:b/>
          <w:sz w:val="32"/>
          <w:szCs w:val="32"/>
        </w:rPr>
        <w:t xml:space="preserve">3.绩效管理</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4.信息公开</w:t>
      </w:r>
      <w:r>
        <w:cr/>
      </w:r>
      <w:r>
        <w:rPr>
          <w:rFonts w:ascii="仿宋_GB2312" w:eastAsia="仿宋_GB2312" w:hAnsi="宋体" w:hint="eastAsia"/>
          <w:b/>
          <w:sz w:val="32"/>
          <w:szCs w:val="32"/>
        </w:rPr>
        <w:br/>
      </w:r>
      <w:r>
        <w:rPr>
          <w:rFonts w:ascii="仿宋_GB2312" w:eastAsia="仿宋_GB2312" w:hAnsi="宋体" w:hint="eastAsia"/>
          <w:b/>
          <w:sz w:val="32"/>
          <w:szCs w:val="32"/>
        </w:rPr>
        <w:t xml:space="preserve">我单位已按要求在裕民县人民政府门户网站公开部门预算信息，同步公开绩效目标表；在裕民县人民政府门户网站公开部门决算信息，同步公开自评表及自评报告。</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（二）部门单位整体支出使用情况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1.基本支出情况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基本支出265.64万元，包括工资福利支出246.9万元，商品和服务支出16.66万元，对个人和家庭的补助0万元，资本性支出0万元。其中：“三公”经费支出0.775万元，比上年增加0.775万元，主要原因是2023年未安排三公经费支出；会议费支出0万元，比上年增加0万元，主要原因是2023年未安排会议费支出；培训费支出0万元，比上年增加0万元，主要原因是2023年未安排培训费支出。</w:t>
      </w:r>
      <w:r>
        <w:cr/>
      </w:r>
      <w:r>
        <w:rPr>
          <w:rFonts w:ascii="仿宋_GB2312" w:eastAsia="仿宋_GB2312" w:hAnsi="宋体" w:hint="eastAsia"/>
          <w:b/>
          <w:sz w:val="32"/>
          <w:szCs w:val="32"/>
        </w:rPr>
        <w:br/>
      </w:r>
      <w:r>
        <w:rPr>
          <w:rFonts w:ascii="仿宋_GB2312" w:eastAsia="仿宋_GB2312" w:hAnsi="宋体" w:hint="eastAsia"/>
          <w:b/>
          <w:sz w:val="32"/>
          <w:szCs w:val="32"/>
        </w:rPr>
        <w:t xml:space="preserve">2.专项资金支出情况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2024年专项项目支出17.98万元，占总支出的6.34％，主要用于2024年软件服务费专项支出。</w:t>
      </w:r>
      <w:r>
        <w:cr/>
      </w:r>
      <w:r>
        <w:rPr>
          <w:rFonts w:ascii="仿宋_GB2312" w:eastAsia="仿宋_GB2312" w:hAnsi="宋体" w:hint="eastAsia"/>
          <w:b/>
          <w:sz w:val="32"/>
          <w:szCs w:val="32"/>
        </w:rPr>
        <w:br/>
      </w:r>
      <w:r>
        <w:rPr>
          <w:rFonts w:ascii="仿宋_GB2312" w:eastAsia="仿宋_GB2312" w:hAnsi="宋体" w:hint="eastAsia"/>
          <w:b/>
          <w:sz w:val="32"/>
          <w:szCs w:val="32"/>
        </w:rPr>
        <w:t xml:space="preserve">3.部门单位专项组织实施情况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年初我单位下发的专项工作计划，对项目的工作分工、任务分配、资金落实、完成时限等提出了明确、具体的要求，以确保项目保质、保量、按时完成。截至2024年12月31日，完成专项0个，未完成专项0个。</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（1）制定了专项资金管理办法，各项资金使用审批流程均按规定办理。涉及“三重一大”内容，严格按照规定提请局党组会审议决定，包括项目资金分配、重大项目确定、大额资金支付等。</w:t>
      </w:r>
      <w:r>
        <w:cr/>
      </w:r>
      <w:r>
        <w:rPr>
          <w:rFonts w:ascii="仿宋_GB2312" w:eastAsia="仿宋_GB2312" w:hAnsi="宋体" w:hint="eastAsia"/>
          <w:b/>
          <w:sz w:val="32"/>
          <w:szCs w:val="32"/>
        </w:rPr>
        <w:br/>
      </w:r>
      <w:r>
        <w:rPr>
          <w:rFonts w:ascii="仿宋_GB2312" w:eastAsia="仿宋_GB2312" w:hAnsi="宋体" w:hint="eastAsia"/>
          <w:b/>
          <w:sz w:val="32"/>
          <w:szCs w:val="32"/>
        </w:rPr>
        <w:t xml:space="preserve">（2）建立专项资金专账，做到有据可依，有据可查。</w:t>
      </w:r>
      <w:r>
        <w:cr/>
      </w:r>
      <w:r>
        <w:rPr>
          <w:rFonts w:ascii="仿宋_GB2312" w:eastAsia="仿宋_GB2312" w:hAnsi="宋体" w:hint="eastAsia"/>
          <w:b/>
          <w:sz w:val="32"/>
          <w:szCs w:val="32"/>
        </w:rPr>
        <w:br/>
      </w:r>
      <w:r>
        <w:rPr>
          <w:rFonts w:ascii="仿宋_GB2312" w:eastAsia="仿宋_GB2312" w:hAnsi="宋体" w:hint="eastAsia"/>
          <w:b/>
          <w:sz w:val="32"/>
          <w:szCs w:val="32"/>
        </w:rPr>
        <w:t xml:space="preserve">（3）制定了项目、项目实施方案，确保项目正常运行。</w:t>
      </w:r>
      <w:r>
        <w:cr/>
      </w:r>
      <w:r>
        <w:rPr>
          <w:rFonts w:ascii="仿宋_GB2312" w:eastAsia="仿宋_GB2312" w:hAnsi="宋体" w:hint="eastAsia"/>
          <w:b/>
          <w:sz w:val="32"/>
          <w:szCs w:val="32"/>
        </w:rPr>
        <w:br/>
      </w:r>
      <w:r>
        <w:rPr>
          <w:rFonts w:ascii="仿宋_GB2312" w:eastAsia="仿宋_GB2312" w:hAnsi="宋体" w:hint="eastAsia"/>
          <w:b/>
          <w:sz w:val="32"/>
          <w:szCs w:val="32"/>
        </w:rPr>
        <w:t xml:space="preserve">（4）认真组织项目验收，确保项目规范有序。</w:t>
      </w:r>
    </w:p>
    <w:p>
      <w:pPr>
        <w:numPr>
          <w:ilvl w:val="0"/>
          <w:numId w:val="3"/>
        </w:numPr>
        <w:snapToGrid w:val="0"/>
        <w:spacing w:line="540" w:lineRule="exact"/>
        <w:rPr>
          <w:rFonts w:ascii="黑体" w:eastAsia="黑体" w:hAnsi="黑体" w:cs="宋体" w:hint="eastAsia"/>
          <w:color w:val="333333"/>
          <w:sz w:val="32"/>
          <w:szCs w:val="32"/>
        </w:rPr>
      </w:pPr>
      <w:r>
        <w:rPr>
          <w:rFonts w:ascii="黑体" w:eastAsia="黑体" w:hAnsi="黑体" w:cs="宋体"/>
          <w:color w:val="333333"/>
          <w:sz w:val="32"/>
          <w:szCs w:val="32"/>
        </w:rPr>
        <w:t xml:space="preserve">部门单位整体支出绩效分析</w:t>
      </w:r>
    </w:p>
    <w:p>
      <w:pPr>
        <w:spacing w:line="600" w:lineRule="exact"/>
        <w:ind w:left="1273" w:hanging="13" w:leftChars="600" w:hanging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（一）预算执行情况分析</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2024年中共裕民县委网络安全和信息化委员会办公室总支出283.63万元，预算执行率104.45%，其中一般公共服务支出212.21万元,社会保障和就业支出29.77万元，卫生健康支出12.09万元，住房保障支出20.55万元。</w:t>
      </w:r>
      <w:r>
        <w:cr/>
      </w:r>
      <w:r>
        <w:rPr>
          <w:rFonts w:ascii="仿宋_GB2312" w:eastAsia="仿宋_GB2312" w:hAnsi="宋体" w:hint="eastAsia"/>
          <w:b/>
          <w:sz w:val="32"/>
          <w:szCs w:val="32"/>
        </w:rPr>
        <w:br/>
      </w:r>
      <w:r>
        <w:rPr>
          <w:rFonts w:ascii="仿宋_GB2312" w:eastAsia="仿宋_GB2312" w:hAnsi="宋体" w:hint="eastAsia"/>
          <w:b/>
          <w:sz w:val="32"/>
          <w:szCs w:val="32"/>
        </w:rPr>
        <w:t xml:space="preserve">1.基本支出使用情况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2024年，中共裕民县委网络安全和信息化委员会办公室基本支出265.65万元，占总支出的93.66％，其中：一般公共服务支出203.24万元，社会保障和就业支出29.77万元，卫生健康支出12.09万元，住房保障支出20.55万元。</w:t>
      </w:r>
      <w:r>
        <w:cr/>
      </w:r>
      <w:r>
        <w:rPr>
          <w:rFonts w:ascii="仿宋_GB2312" w:eastAsia="仿宋_GB2312" w:hAnsi="宋体" w:hint="eastAsia"/>
          <w:b/>
          <w:sz w:val="32"/>
          <w:szCs w:val="32"/>
        </w:rPr>
        <w:br/>
      </w:r>
      <w:r>
        <w:rPr>
          <w:rFonts w:ascii="仿宋_GB2312" w:eastAsia="仿宋_GB2312" w:hAnsi="宋体" w:hint="eastAsia"/>
          <w:b/>
          <w:sz w:val="32"/>
          <w:szCs w:val="32"/>
        </w:rPr>
        <w:t xml:space="preserve">2.项目支出使用情况</w:t>
      </w:r>
      <w:r>
        <w:cr/>
      </w:r>
      <w:r>
        <w:rPr>
          <w:rFonts w:ascii="仿宋_GB2312" w:eastAsia="仿宋_GB2312" w:hAnsi="宋体" w:hint="eastAsia"/>
          <w:b/>
          <w:sz w:val="32"/>
          <w:szCs w:val="32"/>
        </w:rPr>
        <w:br/>
      </w:r>
      <w:r>
        <w:rPr>
          <w:rFonts w:ascii="仿宋_GB2312" w:eastAsia="仿宋_GB2312" w:hAnsi="宋体" w:hint="eastAsia"/>
          <w:b/>
          <w:sz w:val="32"/>
          <w:szCs w:val="32"/>
        </w:rPr>
        <w:t xml:space="preserve">2024年，中共裕民县委网络安全和信息化委员会办公室项目支出17.98万元，占总支出的6.34％。其中：一般公共服务支出17.98万元。</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（二）部门单位整体支出绩效指标完成情况分析</w:t>
      </w:r>
      <w:r>
        <w:cr/>
      </w:r>
      <w:r>
        <w:rPr>
          <w:rFonts w:ascii="仿宋_GB2312" w:eastAsia="仿宋_GB2312" w:hAnsi="宋体" w:hint="eastAsia"/>
          <w:b/>
          <w:sz w:val="32"/>
          <w:szCs w:val="32"/>
        </w:rPr>
        <w:br/>
      </w:r>
      <w:r>
        <w:rPr>
          <w:rFonts w:ascii="仿宋_GB2312" w:eastAsia="仿宋_GB2312" w:hAnsi="宋体" w:hint="eastAsia"/>
          <w:b/>
          <w:sz w:val="32"/>
          <w:szCs w:val="32"/>
        </w:rPr>
        <w:t xml:space="preserve">年初我单位设置部门整体绩效目标中包括一级指标1个（运行成本、管理效率、履职效能、社会效益、可持续发展能力、服务对象满意度）二级指标3个，三级指标7个，指标完成情况分析如下：</w:t>
      </w:r>
      <w:r>
        <w:cr/>
      </w:r>
      <w:r>
        <w:rPr>
          <w:rFonts w:ascii="仿宋_GB2312" w:eastAsia="仿宋_GB2312" w:hAnsi="宋体" w:hint="eastAsia"/>
          <w:b/>
          <w:sz w:val="32"/>
          <w:szCs w:val="32"/>
        </w:rPr>
        <w:br/>
      </w:r>
      <w:r>
        <w:rPr>
          <w:rFonts w:ascii="仿宋_GB2312" w:eastAsia="仿宋_GB2312" w:hAnsi="宋体" w:hint="eastAsia"/>
          <w:b/>
          <w:sz w:val="32"/>
          <w:szCs w:val="32"/>
        </w:rPr>
        <w:t xml:space="preserve">1.运行成本</w:t>
      </w:r>
      <w:r>
        <w:cr/>
      </w:r>
      <w:r>
        <w:rPr>
          <w:rFonts w:ascii="仿宋_GB2312" w:eastAsia="仿宋_GB2312" w:hAnsi="宋体" w:hint="eastAsia"/>
          <w:b/>
          <w:sz w:val="32"/>
          <w:szCs w:val="32"/>
        </w:rPr>
        <w:br/>
      </w:r>
      <w:r>
        <w:rPr>
          <w:rFonts w:ascii="仿宋_GB2312" w:eastAsia="仿宋_GB2312" w:hAnsi="宋体" w:hint="eastAsia"/>
          <w:b/>
          <w:sz w:val="32"/>
          <w:szCs w:val="32"/>
        </w:rPr>
        <w:t xml:space="preserve">2.管理效率</w:t>
      </w:r>
      <w:r>
        <w:cr/>
      </w:r>
      <w:r>
        <w:rPr>
          <w:rFonts w:ascii="仿宋_GB2312" w:eastAsia="仿宋_GB2312" w:hAnsi="宋体" w:hint="eastAsia"/>
          <w:b/>
          <w:sz w:val="32"/>
          <w:szCs w:val="32"/>
        </w:rPr>
        <w:br/>
      </w:r>
      <w:r>
        <w:rPr>
          <w:rFonts w:ascii="仿宋_GB2312" w:eastAsia="仿宋_GB2312" w:hAnsi="宋体" w:hint="eastAsia"/>
          <w:b/>
          <w:sz w:val="32"/>
          <w:szCs w:val="32"/>
        </w:rPr>
        <w:t xml:space="preserve">3.履职效能</w:t>
      </w:r>
      <w:r>
        <w:cr/>
      </w:r>
      <w:r>
        <w:rPr>
          <w:rFonts w:ascii="仿宋_GB2312" w:eastAsia="仿宋_GB2312" w:hAnsi="宋体" w:hint="eastAsia"/>
          <w:b/>
          <w:sz w:val="32"/>
          <w:szCs w:val="32"/>
        </w:rPr>
        <w:br/>
      </w:r>
      <w:r>
        <w:rPr>
          <w:rFonts w:ascii="仿宋_GB2312" w:eastAsia="仿宋_GB2312" w:hAnsi="宋体" w:hint="eastAsia"/>
          <w:b/>
          <w:sz w:val="32"/>
          <w:szCs w:val="32"/>
        </w:rPr>
        <w:t xml:space="preserve">（1）数量指标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指标1：网军队伍人数，指标值：&gt;=830人，年中监控完成值：830，自评完成值：830 ，指标完成率100%。年中绩效运行监控完成值与全年指标完成值均不存在偏差。全年本单位履职尽责，严格贯彻了网军队伍人数建设工作，落实了网信工作任务。通过网军队伍建设工作的有效完成，解决了网信工作中人员配备不齐存在的不足之处，显著提高了网络应急指挥能力，明显改善了网信工作力度，提升了网信日常工作实际，增强了网军队伍建设的完善。</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指标2：网评网举培训次数，指标值：&gt;=5次，年中监控完成值：3次，自评完成值：5次 ，指标完成率100%。年中绩效运行监控完成值与全年指标完成值均不存在偏差。全年本单位履职尽责，严格贯彻了网评网举培训工作，落实了网信工作中对网评网举培训工作任务。通过网评网举培训工作的有效完成，解决了网军队伍人员业务水平不足的问题，显著提高了网军队伍在日常发挥网评军作用能力，明显改善了网信安全工作环境，提升了网信日常工作实际，增强了网军队伍发挥作用的积极主动性。</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3：网络安全宣传次数，指标值：&gt;=12次，年中监控完成值：6次，自评完成值：12次，指标完成率100%。年中绩效运行监控完成值与全年指标完成值均不存在偏差。全年本单位履职尽责，严格做好网络安全宣传工作，落实了网信工作中对网络安全宣传工作任务。通过网络安全宣传工作的有效完成，显著提高了群众网络安全意识和网络安全知识，提升了群众用网意识，增强了群众网络安全的积极主动性。</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4：网络安全检查次数，指标值：&gt;=6次，年中监控完成值：3次，自评完成值：6次，指标完成率100%。年中绩效运行监控完成值与全年指标完成值均不存在偏差。全年本单位履职尽责，严格落实网络安全检查工作。通过网络安全检查工作的有效完成，解决了工作中对网络安全不够重视存在的弱小安全隐患的问题，显著提高了单位干部网络安全意识和网络安全知识，明显改善了网络安全检查的完善性，提升了网信日常工作水平，增强了网络安全检查的积极主动性。</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（2）质量指标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1：网评网举培训合格率，指标值：=100%，年中监控完成值：50%，自评完成值：100%，指标完成率100%。年中绩效运行监控完成值与全年指标完成值均不存在偏差。全年本单位履职尽责，严格按照要求对全县网评网举人员进行培训，落实了网信工作中按时对网评网举培训工作任务。通过网评网举培训工作的有效完成，解决了网军队伍人员业务水平不足的问题，显著提高了网军队伍在日常发挥网评军作用能力，明显改善了网信工作力度，提升了网信日常工作实际。</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2：舆情处置完成率，指标值：100%，年中监控完成值：50%，自评完成值：100%，指标完成率100%。年中绩效运行监控完成值与全年指标完成值均不存在偏差。全年本单位履职尽责，在舆情处置工作上，严格执行舆情处置流程工作要求，通过舆情处置工作的有效完成，显著提高了网信办在日常发挥舆情处置工作的作用和能力，推动网信日常工作的顺利开展。</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综上，该指标分值13分，得13分。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（3）时效指标</w:t>
      </w:r>
      <w:r>
        <w:cr/>
      </w:r>
      <w:r>
        <w:rPr>
          <w:rFonts w:ascii="仿宋_GB2312" w:eastAsia="仿宋_GB2312" w:hAnsi="宋体" w:hint="eastAsia"/>
          <w:b/>
          <w:sz w:val="32"/>
          <w:szCs w:val="32"/>
        </w:rPr>
        <w:br/>
      </w:r>
      <w:r>
        <w:rPr>
          <w:rFonts w:ascii="仿宋_GB2312" w:eastAsia="仿宋_GB2312" w:hAnsi="宋体" w:hint="eastAsia"/>
          <w:b/>
          <w:sz w:val="32"/>
          <w:szCs w:val="32"/>
        </w:rPr>
        <w:t xml:space="preserve">指标1：舆情处置及时率，指标值：=100%，年中监控完成值：50%，自评完成值：100%，指标完成率100%。年中绩效运行监控完成值与全年指标完成值均不存在偏差。全年本单位履职尽责，在舆情处置工作上，严格执行舆情处置流程工作要求，及时、快速完成属地舆情处置工作。通过舆情处置工作的及时完成，提升了网信日常工作能力和工作效率，充分展现了网信工作的能力。</w:t>
      </w:r>
      <w:r>
        <w:cr/>
      </w:r>
      <w:r>
        <w:rPr>
          <w:rFonts w:ascii="仿宋_GB2312" w:eastAsia="仿宋_GB2312" w:hAnsi="宋体" w:hint="eastAsia"/>
          <w:b/>
          <w:sz w:val="32"/>
          <w:szCs w:val="32"/>
        </w:rPr>
        <w:br/>
      </w:r>
      <w:r>
        <w:rPr>
          <w:rFonts w:ascii="仿宋_GB2312" w:eastAsia="仿宋_GB2312" w:hAnsi="宋体" w:hint="eastAsia"/>
          <w:b/>
          <w:sz w:val="32"/>
          <w:szCs w:val="32"/>
        </w:rPr>
        <w:t xml:space="preserve">综上，该指标分值12分，得12分。</w:t>
      </w:r>
      <w:r>
        <w:cr/>
      </w:r>
      <w:r>
        <w:rPr>
          <w:rFonts w:ascii="仿宋_GB2312" w:eastAsia="仿宋_GB2312" w:hAnsi="宋体" w:hint="eastAsia"/>
          <w:b/>
          <w:sz w:val="32"/>
          <w:szCs w:val="32"/>
        </w:rPr>
        <w:br/>
      </w:r>
      <w:r>
        <w:rPr>
          <w:rFonts w:ascii="仿宋_GB2312" w:eastAsia="仿宋_GB2312" w:hAnsi="宋体" w:hint="eastAsia"/>
          <w:b/>
          <w:sz w:val="32"/>
          <w:szCs w:val="32"/>
        </w:rPr>
        <w:t xml:space="preserve">4.社会效益</w:t>
      </w:r>
      <w:r>
        <w:cr/>
      </w:r>
      <w:r>
        <w:rPr>
          <w:rFonts w:ascii="仿宋_GB2312" w:eastAsia="仿宋_GB2312" w:hAnsi="宋体" w:hint="eastAsia"/>
          <w:b/>
          <w:sz w:val="32"/>
          <w:szCs w:val="32"/>
        </w:rPr>
        <w:br/>
      </w:r>
      <w:r>
        <w:rPr>
          <w:rFonts w:ascii="仿宋_GB2312" w:eastAsia="仿宋_GB2312" w:hAnsi="宋体" w:hint="eastAsia"/>
          <w:b/>
          <w:sz w:val="32"/>
          <w:szCs w:val="32"/>
        </w:rPr>
        <w:t xml:space="preserve">5.可持续发展能力</w:t>
      </w:r>
      <w:r>
        <w:cr/>
      </w:r>
      <w:r>
        <w:rPr>
          <w:rFonts w:ascii="仿宋_GB2312" w:eastAsia="仿宋_GB2312" w:hAnsi="宋体" w:hint="eastAsia"/>
          <w:b/>
          <w:sz w:val="32"/>
          <w:szCs w:val="32"/>
        </w:rPr>
        <w:br/>
      </w:r>
      <w:r>
        <w:rPr>
          <w:rFonts w:ascii="仿宋_GB2312" w:eastAsia="仿宋_GB2312" w:hAnsi="宋体" w:hint="eastAsia"/>
          <w:b/>
          <w:sz w:val="32"/>
          <w:szCs w:val="32"/>
        </w:rPr>
        <w:t xml:space="preserve">6.服务对象满意度</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评价结论</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20XX年度部门整体支出绩效评价综合得分90分，评价结果为“优”。</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存在的主要问题及原因分析</w:t>
      </w:r>
    </w:p>
    <w:p>
      <w:pPr>
        <w:spacing w:line="600" w:lineRule="exact"/>
        <w:ind w:left="1276" w:firstLine="13" w:firstLineChars="4"/>
        <w:jc w:val="left"/>
        <w:rPr>
          <w:rFonts w:ascii="仿宋_GB2312" w:eastAsia="仿宋_GB2312" w:hAnsi="宋体" w:hint="eastAsia"/>
          <w:b/>
          <w:sz w:val="32"/>
          <w:szCs w:val="32"/>
        </w:rPr>
      </w:pPr>
      <w:r>
        <w:rPr>
          <w:rFonts w:ascii="仿宋_GB2312" w:eastAsia="仿宋_GB2312" w:hAnsi="宋体" w:hint="eastAsia"/>
          <w:b/>
          <w:sz w:val="32"/>
          <w:szCs w:val="32"/>
        </w:rPr>
        <w:t xml:space="preserve">（一）绩效管理理念有待进一步强化。单位存在重支出轻绩效的情况，对预算项目绩效管理工作重视不够。要转变思想观念，严格落实全面实施预算绩效管理各项工作任务，完善内部管理制度，切实加强绩效管理工作。</w:t>
      </w:r>
      <w:r>
        <w:cr/>
      </w:r>
      <w:r>
        <w:rPr>
          <w:rFonts w:ascii="仿宋_GB2312" w:eastAsia="仿宋_GB2312" w:hAnsi="宋体" w:hint="eastAsia"/>
          <w:b/>
          <w:sz w:val="32"/>
          <w:szCs w:val="32"/>
        </w:rPr>
        <w:br/>
      </w:r>
      <w:r>
        <w:rPr>
          <w:rFonts w:ascii="仿宋_GB2312" w:eastAsia="仿宋_GB2312" w:hAnsi="宋体" w:hint="eastAsia"/>
          <w:b/>
          <w:sz w:val="32"/>
          <w:szCs w:val="32"/>
        </w:rPr>
        <w:t xml:space="preserve">（二）部分业务人员绩效业务水平不高，绩效管理意识有待增强，绩效管理经验不足，业务水平能力需要继续加强，预算绩效管理工作有待进一步落实。</w:t>
      </w:r>
      <w:r>
        <w:cr/>
      </w:r>
      <w:r>
        <w:rPr>
          <w:rFonts w:ascii="仿宋_GB2312" w:eastAsia="仿宋_GB2312" w:hAnsi="宋体" w:hint="eastAsia"/>
          <w:b/>
          <w:sz w:val="32"/>
          <w:szCs w:val="32"/>
        </w:rPr>
        <w:br/>
      </w:r>
      <w:r>
        <w:rPr>
          <w:rFonts w:ascii="仿宋_GB2312" w:eastAsia="仿宋_GB2312" w:hAnsi="宋体" w:hint="eastAsia"/>
          <w:b/>
          <w:sz w:val="32"/>
          <w:szCs w:val="32"/>
        </w:rPr>
        <w:t xml:space="preserve">（三）单位固定资产账务管理普遍存在入账不及时、漏入、入账信息、金额不准确或资产台账未登记到具体使用人等问题。固定资产管理有待进一步加强。固定资产日常监督管理有待进一步加强。    </w:t>
      </w:r>
    </w:p>
    <w:p>
      <w:pPr>
        <w:numPr>
          <w:ilvl w:val="0"/>
          <w:numId w:val="3"/>
        </w:numPr>
        <w:snapToGrid w:val="0"/>
        <w:spacing w:line="540" w:lineRule="exact"/>
        <w:rPr>
          <w:rFonts w:ascii="黑体" w:eastAsia="黑体" w:hAnsi="黑体" w:cs="宋体" w:hint="eastAsia"/>
          <w:bCs/>
          <w:color w:val="333333"/>
          <w:sz w:val="32"/>
          <w:szCs w:val="32"/>
        </w:rPr>
      </w:pPr>
      <w:r>
        <w:rPr>
          <w:rFonts w:ascii="黑体" w:eastAsia="黑体" w:hAnsi="黑体" w:cs="宋体" w:hint="eastAsia"/>
          <w:bCs/>
          <w:color w:val="333333"/>
          <w:sz w:val="32"/>
          <w:szCs w:val="32"/>
        </w:rPr>
        <w:t xml:space="preserve">改进措施和建议</w:t>
      </w:r>
    </w:p>
    <w:p>
      <w:pPr>
        <w:pStyle w:val="ListParagraph"/>
        <w:spacing w:line="600" w:lineRule="exact"/>
        <w:ind w:left="1368" w:firstLine="0" w:firstLineChars="0"/>
        <w:jc w:val="left"/>
        <w:rPr>
          <w:rFonts w:ascii="仿宋_GB2312" w:eastAsia="仿宋_GB2312" w:hAnsi="宋体" w:hint="eastAsia"/>
          <w:b/>
          <w:sz w:val="32"/>
          <w:szCs w:val="32"/>
        </w:rPr>
      </w:pPr>
      <w:r>
        <w:rPr>
          <w:rFonts w:ascii="仿宋_GB2312" w:eastAsia="仿宋_GB2312" w:hAnsi="宋体" w:hint="eastAsia"/>
          <w:b/>
          <w:sz w:val="32"/>
          <w:szCs w:val="32"/>
        </w:rPr>
        <w:t xml:space="preserve">加大绩效工作宣传力度，强化绩效理念。完善绩效指标，提高整体绩效目标质量。提升预算精细化管理水平。</w:t>
      </w:r>
      <w:r>
        <w:rPr>
          <w:rFonts w:ascii="仿宋_GB2312" w:eastAsia="仿宋_GB2312" w:hAnsi="宋体" w:hint="eastAsia"/>
          <w:b/>
          <w:sz w:val="32"/>
          <w:szCs w:val="32"/>
        </w:rPr>
        <w:br/>
      </w:r>
      <w:r>
        <w:rPr>
          <w:rFonts w:ascii="仿宋_GB2312" w:eastAsia="仿宋_GB2312" w:hAnsi="宋体" w:hint="eastAsia"/>
          <w:b/>
          <w:sz w:val="32"/>
          <w:szCs w:val="32"/>
        </w:rPr>
        <w:t xml:space="preserve">1.加强预算执行管理。做好事前审批、事中管理和事后监督工作，不断加快预算执行进度，推动预算执行按照资金计划有序进行。</w:t>
      </w:r>
      <w:r>
        <w:rPr>
          <w:rFonts w:ascii="仿宋_GB2312" w:eastAsia="仿宋_GB2312" w:hAnsi="宋体" w:hint="eastAsia"/>
          <w:b/>
          <w:sz w:val="32"/>
          <w:szCs w:val="32"/>
        </w:rPr>
        <w:br/>
      </w:r>
      <w:r>
        <w:rPr>
          <w:rFonts w:ascii="仿宋_GB2312" w:eastAsia="仿宋_GB2312" w:hAnsi="宋体" w:hint="eastAsia"/>
          <w:b/>
          <w:sz w:val="32"/>
          <w:szCs w:val="32"/>
        </w:rPr>
        <w:t xml:space="preserve">2. 提高资金使用效益。统筹兼顾、量力而行、讲求绩效，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r>
        <w:rPr>
          <w:rFonts w:ascii="仿宋_GB2312" w:eastAsia="仿宋_GB2312" w:hAnsi="宋体" w:hint="eastAsia"/>
          <w:b/>
          <w:sz w:val="32"/>
          <w:szCs w:val="32"/>
        </w:rPr>
        <w:br/>
      </w:r>
      <w:r>
        <w:rPr>
          <w:rFonts w:ascii="仿宋_GB2312" w:eastAsia="仿宋_GB2312" w:hAnsi="宋体" w:hint="eastAsia"/>
          <w:b/>
          <w:sz w:val="32"/>
          <w:szCs w:val="32"/>
        </w:rPr>
        <w:t xml:space="preserve">3.强化固定资产管理工作，进一步提高固定资产管理的科学性和准确性，提高固定资产使用效益和效果。</w:t>
      </w:r>
    </w:p>
    <w:p>
      <w:pPr>
        <w:spacing w:line="600" w:lineRule="exact"/>
        <w:ind w:firstLine="640" w:firstLineChars="200"/>
        <w:jc w:val="left"/>
        <w:rPr>
          <w:rFonts w:ascii="黑体" w:eastAsia="黑体" w:hAnsi="黑体" w:cs="宋体" w:hint="eastAsia"/>
          <w:b/>
          <w:color w:val="333333"/>
        </w:rPr>
      </w:pPr>
      <w:r>
        <w:rPr>
          <w:rStyle w:val="Strong"/>
          <w:rFonts w:ascii="黑体" w:eastAsia="黑体" w:hAnsi="黑体" w:hint="eastAsia"/>
          <w:b w:val="0"/>
          <w:bCs w:val="0"/>
          <w:spacing w:val="-4"/>
          <w:sz w:val="32"/>
          <w:szCs w:val="32"/>
        </w:rPr>
        <w:t xml:space="preserve">七、</w:t>
      </w:r>
      <w:r>
        <w:rPr>
          <w:rFonts w:ascii="黑体" w:eastAsia="黑体" w:hAnsi="黑体" w:cs="宋体" w:hint="eastAsia"/>
          <w:bCs/>
          <w:color w:val="333333"/>
          <w:sz w:val="32"/>
          <w:szCs w:val="32"/>
        </w:rPr>
        <w:t xml:space="preserve">附表：《部门整体支出绩效自评表》</w:t>
      </w:r>
    </w:p>
    <w:p>
      <w:pPr/>
    </w:p>
    <w:sectPr>
      <w:pgSz w:w="11906" w:h="16838" w:orient="portrait"/>
      <w:pgMar w:top="1440" w:right="1800" w:bottom="1440" w:left="1800" w:header="851" w:footer="992" w:gutter="0"/>
      <w:pgBorders/>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japaneseCounting"/>
      <w:suff w:val="tab"/>
      <w:lvlText w:val="%1、"/>
      <w:lvlJc w:val="left"/>
      <w:pPr>
        <w:ind w:left="1368" w:hanging="720"/>
      </w:pPr>
      <w:rPr>
        <w:rFonts w:hint="default"/>
      </w:rPr>
    </w:lvl>
    <w:lvl w:ilvl="1">
      <w:start w:val="1"/>
      <w:numFmt w:val="lowerLetter"/>
      <w:suff w:val="tab"/>
      <w:lvlText w:val="%2)"/>
      <w:lvlJc w:val="left"/>
      <w:pPr>
        <w:ind w:left="1488" w:hanging="420"/>
      </w:pPr>
      <w:rPr/>
    </w:lvl>
    <w:lvl w:ilvl="2">
      <w:start w:val="1"/>
      <w:numFmt w:val="lowerRoman"/>
      <w:suff w:val="tab"/>
      <w:lvlText w:val="%3."/>
      <w:lvlJc w:val="right"/>
      <w:pPr>
        <w:ind w:left="1908" w:hanging="420"/>
      </w:pPr>
      <w:rPr/>
    </w:lvl>
    <w:lvl w:ilvl="3">
      <w:start w:val="1"/>
      <w:numFmt w:val="decimal"/>
      <w:suff w:val="tab"/>
      <w:lvlText w:val="%4."/>
      <w:lvlJc w:val="left"/>
      <w:pPr>
        <w:ind w:left="2328" w:hanging="420"/>
      </w:pPr>
      <w:rPr/>
    </w:lvl>
    <w:lvl w:ilvl="4">
      <w:start w:val="1"/>
      <w:numFmt w:val="lowerLetter"/>
      <w:suff w:val="tab"/>
      <w:lvlText w:val="%5)"/>
      <w:lvlJc w:val="left"/>
      <w:pPr>
        <w:ind w:left="2748" w:hanging="420"/>
      </w:pPr>
      <w:rPr/>
    </w:lvl>
    <w:lvl w:ilvl="5">
      <w:start w:val="1"/>
      <w:numFmt w:val="lowerRoman"/>
      <w:suff w:val="tab"/>
      <w:lvlText w:val="%6."/>
      <w:lvlJc w:val="right"/>
      <w:pPr>
        <w:ind w:left="3168" w:hanging="420"/>
      </w:pPr>
      <w:rPr/>
    </w:lvl>
    <w:lvl w:ilvl="6">
      <w:start w:val="1"/>
      <w:numFmt w:val="decimal"/>
      <w:suff w:val="tab"/>
      <w:lvlText w:val="%7."/>
      <w:lvlJc w:val="left"/>
      <w:pPr>
        <w:ind w:left="3588" w:hanging="420"/>
      </w:pPr>
      <w:rPr/>
    </w:lvl>
    <w:lvl w:ilvl="7">
      <w:start w:val="1"/>
      <w:numFmt w:val="lowerLetter"/>
      <w:suff w:val="tab"/>
      <w:lvlText w:val="%8)"/>
      <w:lvlJc w:val="left"/>
      <w:pPr>
        <w:ind w:left="4008" w:hanging="420"/>
      </w:pPr>
      <w:rPr/>
    </w:lvl>
    <w:lvl w:ilvl="8">
      <w:start w:val="1"/>
      <w:numFmt w:val="lowerRoman"/>
      <w:suff w:val="tab"/>
      <w:lvlText w:val="%9."/>
      <w:lvlJc w:val="right"/>
      <w:pPr>
        <w:ind w:left="4428" w:hanging="420"/>
      </w:pPr>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52"/>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4">
    <w:name w:val="Heading 4"/>
    <w:basedOn w:val="Normal"/>
    <w:next w:val="Normal"/>
    <w:link w:val="标题4字符"/>
    <w:uiPriority w:val="9"/>
    <w:semiHidden/>
    <w:unhideWhenUsed/>
    <w:qFormat/>
    <w:pPr>
      <w:keepNext/>
      <w:keepLines/>
      <w:spacing w:before="280" w:after="290" w:line="376" w:lineRule="auto"/>
      <w:outlineLvl w:val="3"/>
    </w:pPr>
    <w:rPr>
      <w:rFonts w:ascii="Calibri Light" w:eastAsia="宋体" w:hAnsi="Calibri Light" w:asciiTheme="majorHAnsi" w:eastAsiaTheme="majorEastAsia" w:hAnsiTheme="majorHAnsi" w:cs="Times New Roman" w:cstheme="majorBidi"/>
      <w:b/>
      <w:bCs/>
      <w:sz w:val="28"/>
      <w:szCs w:val="28"/>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Footer">
    <w:name w:val="Footer"/>
    <w:basedOn w:val="Normal"/>
    <w:link w:val="页脚字符"/>
    <w:uiPriority w:val="99"/>
    <w:unhideWhenUsed/>
    <w:pPr>
      <w:tabs>
        <w:tab w:val="center" w:pos="4153"/>
        <w:tab w:val="right" w:pos="8306"/>
      </w:tabs>
      <w:snapToGrid w:val="0"/>
      <w:jc w:val="left"/>
    </w:pPr>
    <w:rPr>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sz w:val="18"/>
      <w:szCs w:val="18"/>
    </w:rPr>
  </w:style>
  <w:style w:type="character" w:styleId="Strong">
    <w:name w:val="Strong"/>
    <w:basedOn w:val="DefaultParagraphFont"/>
    <w:qFormat/>
    <w:rPr>
      <w:b/>
      <w:bCs/>
    </w:rPr>
  </w:style>
  <w:style w:type="character" w:customStyle="1" w:styleId="页眉字符">
    <w:name w:val="页眉 字符"/>
    <w:basedOn w:val="DefaultParagraphFont"/>
    <w:link w:val="Header"/>
    <w:uiPriority w:val="99"/>
    <w:rPr>
      <w:sz w:val="18"/>
      <w:szCs w:val="18"/>
    </w:rPr>
  </w:style>
  <w:style w:type="character" w:customStyle="1" w:styleId="页脚字符">
    <w:name w:val="页脚 字符"/>
    <w:basedOn w:val="DefaultParagraphFont"/>
    <w:link w:val="Footer"/>
    <w:uiPriority w:val="99"/>
    <w:rPr>
      <w:sz w:val="18"/>
      <w:szCs w:val="18"/>
    </w:rPr>
  </w:style>
  <w:style w:type="paragraph" w:styleId="ListParagraph">
    <w:name w:val="List Paragraph"/>
    <w:basedOn w:val="Normal"/>
    <w:uiPriority w:val="99"/>
    <w:qFormat/>
    <w:pPr>
      <w:ind w:firstLine="420" w:firstLineChars="200"/>
    </w:pPr>
    <w:rPr/>
  </w:style>
  <w:style w:type="character" w:customStyle="1" w:styleId="标题4字符">
    <w:name w:val="标题 4 字符"/>
    <w:basedOn w:val="DefaultParagraphFont"/>
    <w:link w:val="Heading4"/>
    <w:uiPriority w:val="9"/>
    <w:semiHidden/>
    <w:qFormat/>
    <w:rPr>
      <w:rFonts w:ascii="Calibri Light" w:eastAsia="宋体" w:hAnsi="Calibri Light" w:asciiTheme="majorHAnsi" w:eastAsiaTheme="majorEastAsia" w:hAnsiTheme="majorHAnsi" w:cs="Times New Roman" w:cstheme="majorBidi"/>
      <w:b/>
      <w:bCs/>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25</TotalTime>
  <Pages>2</Pages>
  <Words>58</Words>
  <Characters>336</Characters>
  <Application>WPS Office_10.1.0.7566_F1E327BC-269C-435d-A152-05C5408002CA</Application>
  <DocSecurity>0</DocSecurity>
  <Lines>2</Lines>
  <Paragraphs>1</Paragraphs>
  <CharactersWithSpaces>393</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hongbing liu</dc:creator>
  <cp:lastModifiedBy>Administrator</cp:lastModifiedBy>
  <cp:revision>27</cp:revision>
  <dcterms:created xsi:type="dcterms:W3CDTF">2020-06-04T05:22:00Z</dcterms:created>
  <dcterms:modified xsi:type="dcterms:W3CDTF">2025-07-30T03:33:07Z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2052-10.1.0.7566</vt:lpwstr>
  </property>
</Properties>
</file>